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06C1" w14:textId="37BFFC7B" w:rsidR="009C6035" w:rsidRPr="00061A8E" w:rsidRDefault="009C6035" w:rsidP="00061A8E">
      <w:pPr>
        <w:pStyle w:val="Caption"/>
        <w:jc w:val="center"/>
        <w:rPr>
          <w:rFonts w:cstheme="minorHAnsi"/>
          <w:i w:val="0"/>
          <w:iCs w:val="0"/>
          <w:sz w:val="28"/>
          <w:szCs w:val="28"/>
        </w:rPr>
      </w:pPr>
      <w:bookmarkStart w:id="0" w:name="_Toc137633680"/>
      <w:r>
        <w:rPr>
          <w:i w:val="0"/>
          <w:iCs w:val="0"/>
          <w:sz w:val="28"/>
          <w:szCs w:val="22"/>
        </w:rPr>
        <w:t xml:space="preserve">Ferramenta de planeamento: </w:t>
      </w:r>
      <w:r>
        <w:rPr>
          <w:bCs/>
          <w:i w:val="0"/>
          <w:iCs w:val="0"/>
          <w:sz w:val="28"/>
          <w:szCs w:val="22"/>
        </w:rPr>
        <w:t>Modelo de acordo de colaboração para a gestão e supervisão do desenvolvimento da campanha de alimentação de bebés e crianças pequenas</w:t>
      </w:r>
      <w:bookmarkEnd w:id="0"/>
    </w:p>
    <w:p w14:paraId="5BE48240" w14:textId="77777777" w:rsidR="009C6035" w:rsidRDefault="009C6035" w:rsidP="009C6035">
      <w:pPr>
        <w:rPr>
          <w:rFonts w:cstheme="minorHAnsi"/>
          <w:szCs w:val="22"/>
        </w:rPr>
      </w:pPr>
    </w:p>
    <w:p w14:paraId="2389FEBA" w14:textId="77777777" w:rsidR="007917B1" w:rsidRDefault="007917B1" w:rsidP="009C6035">
      <w:pPr>
        <w:rPr>
          <w:rFonts w:cstheme="minorHAnsi"/>
          <w:szCs w:val="22"/>
        </w:rPr>
      </w:pPr>
    </w:p>
    <w:p w14:paraId="698C5FAC" w14:textId="5755437D" w:rsidR="009C6035" w:rsidRPr="00344322" w:rsidRDefault="009C6035" w:rsidP="002F0B51">
      <w:pPr>
        <w:rPr>
          <w:rFonts w:cstheme="minorHAnsi"/>
          <w:szCs w:val="22"/>
        </w:rPr>
      </w:pPr>
      <w:r>
        <w:t>O objetivo do programa é desenvolver uma campanha multimédia de comunicação para a mudança social e comportamental (CMSC) baseada em evidências e centrada nas práticas de alimentação de bebés e crianças pequenas (IYCF). As principais atividades incluem: desenvolvimento de uma estratégia de campanha, conceção dos recursos criativos, teste prévio das mensagens da campanha e finalização dos materiais da campanha. Estas atividades exigirão consultas contínuas entre os parceiros e as partes interessadas.</w:t>
      </w:r>
    </w:p>
    <w:p w14:paraId="493F3C80" w14:textId="77777777" w:rsidR="009C6035" w:rsidRPr="00344322" w:rsidRDefault="009C6035" w:rsidP="009C6035">
      <w:pPr>
        <w:rPr>
          <w:rFonts w:cstheme="minorHAnsi"/>
          <w:szCs w:val="22"/>
        </w:rPr>
      </w:pPr>
    </w:p>
    <w:p w14:paraId="1A00CD60" w14:textId="77777777" w:rsidR="009C6035" w:rsidRPr="00344322" w:rsidRDefault="009C6035" w:rsidP="009C6035">
      <w:pPr>
        <w:rPr>
          <w:rFonts w:cstheme="minorHAnsi"/>
          <w:szCs w:val="22"/>
        </w:rPr>
      </w:pPr>
      <w:r>
        <w:t xml:space="preserve">Este documento fornece um resumo do processo e da estrutura de gestão, supervisão e coordenação. </w:t>
      </w:r>
    </w:p>
    <w:p w14:paraId="2BD38B4E" w14:textId="77777777" w:rsidR="009C6035" w:rsidRPr="00344322" w:rsidRDefault="009C6035" w:rsidP="009C6035">
      <w:pPr>
        <w:rPr>
          <w:rFonts w:cstheme="minorHAnsi"/>
          <w:szCs w:val="22"/>
          <w:u w:val="single"/>
        </w:rPr>
      </w:pPr>
    </w:p>
    <w:p w14:paraId="6D940859" w14:textId="77777777" w:rsidR="009C6035" w:rsidRPr="00344322" w:rsidRDefault="009C6035" w:rsidP="009C6035">
      <w:pPr>
        <w:rPr>
          <w:rFonts w:cstheme="minorHAnsi"/>
          <w:szCs w:val="22"/>
          <w:u w:val="single"/>
        </w:rPr>
      </w:pPr>
    </w:p>
    <w:p w14:paraId="63113671" w14:textId="7D0AFD68" w:rsidR="009C6035" w:rsidRPr="002F0B51" w:rsidRDefault="009C6035" w:rsidP="009C6035">
      <w:pPr>
        <w:rPr>
          <w:rFonts w:cstheme="minorHAnsi"/>
          <w:b/>
          <w:bCs/>
          <w:sz w:val="24"/>
        </w:rPr>
      </w:pPr>
      <w:r>
        <w:rPr>
          <w:b/>
          <w:bCs/>
          <w:sz w:val="24"/>
        </w:rPr>
        <w:t>Calendário global:</w:t>
      </w:r>
    </w:p>
    <w:p w14:paraId="26626D7C" w14:textId="1F740057" w:rsidR="009C6035" w:rsidRPr="00344322" w:rsidRDefault="009C6035" w:rsidP="009C6035">
      <w:pPr>
        <w:rPr>
          <w:rFonts w:cstheme="minorHAnsi"/>
          <w:szCs w:val="22"/>
        </w:rPr>
      </w:pPr>
      <w:r>
        <w:t xml:space="preserve">O calendário para a campanha é </w:t>
      </w:r>
      <w:r>
        <w:rPr>
          <w:color w:val="808080" w:themeColor="background1" w:themeShade="80"/>
          <w:szCs w:val="22"/>
          <w:u w:val="single"/>
        </w:rPr>
        <w:t>[enunciar as datas principais, nomeadamente a da reunião inicial, do lançamento do processo de pedido de propostas, a data provisória de implementação, entre outras; pode ser útil elaborar uma tabela].</w:t>
      </w:r>
      <w:r>
        <w:rPr>
          <w:color w:val="808080" w:themeColor="background1" w:themeShade="80"/>
          <w:szCs w:val="22"/>
        </w:rPr>
        <w:t xml:space="preserve"> </w:t>
      </w:r>
    </w:p>
    <w:p w14:paraId="290EFF1F" w14:textId="77777777" w:rsidR="009C6035" w:rsidRPr="00344322" w:rsidRDefault="009C6035" w:rsidP="009C6035">
      <w:pPr>
        <w:rPr>
          <w:rFonts w:cstheme="minorHAnsi"/>
          <w:szCs w:val="22"/>
          <w:u w:val="single"/>
        </w:rPr>
      </w:pPr>
    </w:p>
    <w:p w14:paraId="3F5E1045" w14:textId="77777777" w:rsidR="009C6035" w:rsidRPr="00344322" w:rsidRDefault="009C6035" w:rsidP="009C6035">
      <w:pPr>
        <w:rPr>
          <w:rFonts w:cstheme="minorHAnsi"/>
          <w:szCs w:val="22"/>
          <w:u w:val="single"/>
        </w:rPr>
      </w:pPr>
    </w:p>
    <w:p w14:paraId="16A2EFE6" w14:textId="77777777" w:rsidR="009C6035" w:rsidRPr="002F0B51" w:rsidRDefault="009C6035" w:rsidP="009C6035">
      <w:pPr>
        <w:rPr>
          <w:rFonts w:cstheme="minorHAnsi"/>
          <w:b/>
          <w:bCs/>
          <w:sz w:val="24"/>
        </w:rPr>
      </w:pPr>
      <w:r>
        <w:rPr>
          <w:b/>
          <w:bCs/>
          <w:sz w:val="24"/>
        </w:rPr>
        <w:t>Estruturas de gestão e de supervisão</w:t>
      </w:r>
    </w:p>
    <w:p w14:paraId="03DA1350" w14:textId="74F9F8BB" w:rsidR="009C6035" w:rsidRPr="00344322" w:rsidRDefault="009C6035" w:rsidP="009C6035">
      <w:pPr>
        <w:rPr>
          <w:rFonts w:cstheme="minorHAnsi"/>
          <w:szCs w:val="22"/>
        </w:rPr>
      </w:pPr>
      <w:r>
        <w:t xml:space="preserve">A </w:t>
      </w:r>
      <w:r>
        <w:rPr>
          <w:b/>
          <w:bCs/>
          <w:szCs w:val="22"/>
        </w:rPr>
        <w:t>equipa do programa</w:t>
      </w:r>
      <w:r>
        <w:t xml:space="preserve"> é composta por </w:t>
      </w:r>
      <w:r>
        <w:rPr>
          <w:color w:val="808080" w:themeColor="background1" w:themeShade="80"/>
          <w:szCs w:val="22"/>
          <w:u w:val="single"/>
        </w:rPr>
        <w:t>[isto deve incluir o gestor do programa, os especialistas técnicos e outros, conforme relevante].</w:t>
      </w:r>
      <w:r>
        <w:rPr>
          <w:color w:val="808080" w:themeColor="background1" w:themeShade="80"/>
          <w:szCs w:val="22"/>
        </w:rPr>
        <w:t xml:space="preserve"> </w:t>
      </w:r>
      <w:r>
        <w:t xml:space="preserve">A equipa do programa liderará a gestão quotidiana do programa, nomeadamente o envolvimento das partes interessadas e da agência criativa, o desenvolvimento da campanha, o orçamento e o calendário. </w:t>
      </w:r>
    </w:p>
    <w:p w14:paraId="6023A5D9" w14:textId="77777777" w:rsidR="009C6035" w:rsidRPr="00344322" w:rsidRDefault="009C6035" w:rsidP="009C6035">
      <w:pPr>
        <w:rPr>
          <w:rFonts w:cstheme="minorHAnsi"/>
          <w:szCs w:val="22"/>
        </w:rPr>
      </w:pPr>
    </w:p>
    <w:p w14:paraId="529E621A" w14:textId="34C81D17" w:rsidR="009C6035" w:rsidRPr="00344322" w:rsidRDefault="009C6035" w:rsidP="009C6035">
      <w:pPr>
        <w:rPr>
          <w:rFonts w:cstheme="minorHAnsi"/>
          <w:szCs w:val="22"/>
        </w:rPr>
      </w:pPr>
      <w:r>
        <w:t xml:space="preserve">A </w:t>
      </w:r>
      <w:r>
        <w:rPr>
          <w:b/>
          <w:bCs/>
          <w:szCs w:val="22"/>
        </w:rPr>
        <w:t>equipa de gestão nacional (CMT)</w:t>
      </w:r>
      <w:r>
        <w:t xml:space="preserve"> é um grupo de membros que representam duas ou três organizações de apoio e representantes do Ministério da Saúde. Os membros da CMT reunir-se-ão a cada uma ou duas semanas para fornecer supervisão de alto nível e serão responsáveis pela aprovação de todos os materiais da campanha. </w:t>
      </w:r>
    </w:p>
    <w:p w14:paraId="21266B58" w14:textId="77777777" w:rsidR="009C6035" w:rsidRPr="00344322" w:rsidRDefault="009C6035" w:rsidP="009C6035">
      <w:pPr>
        <w:rPr>
          <w:rFonts w:cstheme="minorHAnsi"/>
          <w:szCs w:val="22"/>
        </w:rPr>
      </w:pPr>
    </w:p>
    <w:p w14:paraId="59F0D806" w14:textId="7C10B845" w:rsidR="009C6035" w:rsidRPr="00344322" w:rsidRDefault="009C6035" w:rsidP="009C6035">
      <w:pPr>
        <w:rPr>
          <w:rFonts w:cstheme="minorHAnsi"/>
          <w:szCs w:val="22"/>
        </w:rPr>
      </w:pPr>
      <w:r>
        <w:t xml:space="preserve">O </w:t>
      </w:r>
      <w:r>
        <w:rPr>
          <w:b/>
          <w:bCs/>
          <w:szCs w:val="22"/>
        </w:rPr>
        <w:t>comité consultivo nacional (CAC)</w:t>
      </w:r>
      <w:r>
        <w:t xml:space="preserve"> é um grupo de profissionais, gestores e decisores políticos com conhecimentos relevantes sobre a programação de IYCF e CMSC. Representam um vasto leque de organizações não governamentais, agências governamentais, organizações multilaterais, universidades, serviços de saúde ou outros. O CAC reunir-se-á mensalmente e apoiará a tomada de decisões estratégicas e o alinhamento com os programas IYCF e CMSC existentes no país.</w:t>
      </w:r>
    </w:p>
    <w:p w14:paraId="079C3BD8" w14:textId="77777777" w:rsidR="009C6035" w:rsidRPr="00344322" w:rsidRDefault="009C6035" w:rsidP="009C6035">
      <w:pPr>
        <w:rPr>
          <w:rFonts w:cstheme="minorHAnsi"/>
          <w:b/>
          <w:bCs/>
          <w:szCs w:val="22"/>
        </w:rPr>
      </w:pPr>
    </w:p>
    <w:p w14:paraId="0FB082E5" w14:textId="77777777" w:rsidR="009C6035" w:rsidRPr="00344322" w:rsidRDefault="009C6035" w:rsidP="009C6035">
      <w:pPr>
        <w:rPr>
          <w:rFonts w:cstheme="minorHAnsi"/>
          <w:szCs w:val="22"/>
        </w:rPr>
      </w:pPr>
      <w:r>
        <w:t>As funções e responsabilidades adicionais das estruturas de gestão e de supervisão são descritas a seguir.</w:t>
      </w:r>
    </w:p>
    <w:p w14:paraId="019A523A" w14:textId="77777777" w:rsidR="009C6035" w:rsidRPr="00344322" w:rsidRDefault="009C6035" w:rsidP="009C6035">
      <w:pPr>
        <w:rPr>
          <w:rFonts w:cstheme="minorHAnsi"/>
          <w:szCs w:val="22"/>
        </w:rPr>
      </w:pPr>
    </w:p>
    <w:p w14:paraId="1851360B" w14:textId="77777777" w:rsidR="009C6035" w:rsidRPr="00344322" w:rsidRDefault="009C6035" w:rsidP="009C6035">
      <w:pPr>
        <w:rPr>
          <w:rFonts w:cstheme="minorHAnsi"/>
          <w:b/>
          <w:bCs/>
          <w:szCs w:val="22"/>
        </w:rPr>
      </w:pPr>
      <w:r>
        <w:br w:type="page"/>
      </w:r>
    </w:p>
    <w:p w14:paraId="7E92F599" w14:textId="77777777" w:rsidR="009C6035" w:rsidRPr="002F0B51" w:rsidRDefault="009C6035" w:rsidP="009C6035">
      <w:pPr>
        <w:rPr>
          <w:rFonts w:cstheme="minorHAnsi"/>
          <w:b/>
          <w:bCs/>
          <w:sz w:val="24"/>
        </w:rPr>
      </w:pPr>
      <w:r>
        <w:rPr>
          <w:b/>
          <w:bCs/>
          <w:sz w:val="24"/>
        </w:rPr>
        <w:lastRenderedPageBreak/>
        <w:t>Equipa de gestão nacional (CMT)</w:t>
      </w:r>
    </w:p>
    <w:p w14:paraId="66E4DD5D" w14:textId="77777777" w:rsidR="009C6035" w:rsidRPr="00344322" w:rsidRDefault="009C6035" w:rsidP="009C6035">
      <w:pPr>
        <w:rPr>
          <w:rFonts w:cstheme="minorHAnsi"/>
          <w:b/>
          <w:bCs/>
          <w:i/>
          <w:iCs/>
          <w:szCs w:val="22"/>
        </w:rPr>
      </w:pPr>
    </w:p>
    <w:p w14:paraId="750D14DE" w14:textId="287A22C2" w:rsidR="009C6035" w:rsidRPr="0006225C" w:rsidRDefault="009C6035" w:rsidP="009C6035">
      <w:pPr>
        <w:ind w:left="720"/>
        <w:rPr>
          <w:rFonts w:cstheme="minorHAnsi"/>
          <w:szCs w:val="22"/>
          <w:u w:val="single"/>
        </w:rPr>
      </w:pPr>
      <w:r>
        <w:rPr>
          <w:b/>
          <w:bCs/>
          <w:szCs w:val="22"/>
        </w:rPr>
        <w:t xml:space="preserve">Membros propostos: </w:t>
      </w:r>
      <w:r>
        <w:rPr>
          <w:color w:val="808080" w:themeColor="background1" w:themeShade="80"/>
          <w:szCs w:val="22"/>
          <w:u w:val="single"/>
        </w:rPr>
        <w:t>[adicionar aqui uma lista dos membros propostos por nome, credenciais e afiliação.]</w:t>
      </w:r>
    </w:p>
    <w:p w14:paraId="11E691EC" w14:textId="77777777" w:rsidR="009C6035" w:rsidRPr="00344322" w:rsidRDefault="009C6035" w:rsidP="009C6035">
      <w:pPr>
        <w:rPr>
          <w:rFonts w:cstheme="minorHAnsi"/>
          <w:szCs w:val="22"/>
        </w:rPr>
      </w:pPr>
    </w:p>
    <w:p w14:paraId="5578B538" w14:textId="00358750" w:rsidR="009C6035" w:rsidRPr="00344322" w:rsidRDefault="009C6035" w:rsidP="009C6035">
      <w:pPr>
        <w:ind w:left="720"/>
        <w:rPr>
          <w:rFonts w:cstheme="minorHAnsi"/>
          <w:i/>
          <w:iCs/>
          <w:szCs w:val="22"/>
        </w:rPr>
      </w:pPr>
      <w:r>
        <w:rPr>
          <w:b/>
          <w:bCs/>
          <w:szCs w:val="22"/>
        </w:rPr>
        <w:t>Nível de esforço necessário:</w:t>
      </w:r>
      <w:r>
        <w:t xml:space="preserve">  Estimamos que as tarefas associadas à participação neste grupo representem 4-5 horas por semana, e incluirão a preparação e a participação em reuniões, a realização de trabalhos de acompanhamento relacionados com as reuniões semanais e a prestação de apoio e orientação à equipa do programa e à agência criativa. </w:t>
      </w:r>
    </w:p>
    <w:p w14:paraId="12CCFED0" w14:textId="77777777" w:rsidR="009C6035" w:rsidRPr="00344322" w:rsidRDefault="009C6035" w:rsidP="009C6035">
      <w:pPr>
        <w:rPr>
          <w:rFonts w:cstheme="minorHAnsi"/>
          <w:b/>
          <w:bCs/>
          <w:szCs w:val="22"/>
        </w:rPr>
      </w:pPr>
    </w:p>
    <w:p w14:paraId="5D582064" w14:textId="77777777" w:rsidR="009C6035" w:rsidRPr="00344322" w:rsidRDefault="009C6035" w:rsidP="009C6035">
      <w:pPr>
        <w:ind w:left="720"/>
        <w:rPr>
          <w:rFonts w:cstheme="minorHAnsi"/>
          <w:szCs w:val="22"/>
        </w:rPr>
      </w:pPr>
      <w:r>
        <w:rPr>
          <w:b/>
          <w:bCs/>
          <w:szCs w:val="22"/>
        </w:rPr>
        <w:t>Função geral:</w:t>
      </w:r>
      <w:r>
        <w:rPr>
          <w:b/>
          <w:bCs/>
          <w:i/>
          <w:iCs/>
          <w:szCs w:val="22"/>
        </w:rPr>
        <w:t xml:space="preserve"> </w:t>
      </w:r>
      <w:r>
        <w:t>O grupo fornecerá supervisão de alto nível e será responsável pela aprovação de todos os materiais e mensagens da campanha.</w:t>
      </w:r>
    </w:p>
    <w:p w14:paraId="18DF8A53" w14:textId="77777777" w:rsidR="009C6035" w:rsidRPr="00344322" w:rsidRDefault="009C6035" w:rsidP="009C6035">
      <w:pPr>
        <w:rPr>
          <w:rFonts w:cstheme="minorHAnsi"/>
          <w:b/>
          <w:bCs/>
          <w:szCs w:val="22"/>
        </w:rPr>
      </w:pPr>
    </w:p>
    <w:p w14:paraId="52CA5E81" w14:textId="77777777" w:rsidR="009C6035" w:rsidRPr="00344322" w:rsidRDefault="009C6035" w:rsidP="009C6035">
      <w:pPr>
        <w:ind w:firstLine="720"/>
        <w:rPr>
          <w:rFonts w:cstheme="minorHAnsi"/>
          <w:b/>
          <w:bCs/>
          <w:szCs w:val="22"/>
        </w:rPr>
      </w:pPr>
      <w:r>
        <w:rPr>
          <w:b/>
          <w:bCs/>
          <w:szCs w:val="22"/>
        </w:rPr>
        <w:t>Principais tarefas e responsabilidades:</w:t>
      </w:r>
    </w:p>
    <w:p w14:paraId="3898583A" w14:textId="58EDA0AD" w:rsidR="009C6035" w:rsidRPr="00344322" w:rsidRDefault="009C6035" w:rsidP="009C6035">
      <w:pPr>
        <w:numPr>
          <w:ilvl w:val="0"/>
          <w:numId w:val="2"/>
        </w:numPr>
        <w:rPr>
          <w:rFonts w:cstheme="minorHAnsi"/>
          <w:szCs w:val="22"/>
        </w:rPr>
      </w:pPr>
      <w:r>
        <w:t xml:space="preserve">Rever e fornecer comentários técnicos, editoriais e de design detalhados sobre todos os conceitos e recursos criativos da campanha, como a ideia central, a marca abrangente, os produtos de media e as atividades da campanha. </w:t>
      </w:r>
    </w:p>
    <w:p w14:paraId="477D68FC" w14:textId="5AE3A4A7" w:rsidR="009C6035" w:rsidRPr="00344322" w:rsidRDefault="009C6035" w:rsidP="009C6035">
      <w:pPr>
        <w:numPr>
          <w:ilvl w:val="0"/>
          <w:numId w:val="2"/>
        </w:numPr>
        <w:rPr>
          <w:rFonts w:cstheme="minorHAnsi"/>
          <w:szCs w:val="22"/>
        </w:rPr>
      </w:pPr>
      <w:r>
        <w:t>Rever o protocolo de teste prévio e orientar a agência nas alterações aos ativos criativos com base nos resultados do teste prévio.</w:t>
      </w:r>
    </w:p>
    <w:p w14:paraId="31316310" w14:textId="77777777" w:rsidR="009C6035" w:rsidRPr="00344322" w:rsidRDefault="009C6035" w:rsidP="009C6035">
      <w:pPr>
        <w:numPr>
          <w:ilvl w:val="0"/>
          <w:numId w:val="2"/>
        </w:numPr>
        <w:rPr>
          <w:rFonts w:cstheme="minorHAnsi"/>
          <w:szCs w:val="22"/>
        </w:rPr>
      </w:pPr>
      <w:r>
        <w:t>Assegurar o acordo e a aprovação universal da CMT para os materiais e mensagens finalizados da campanha.</w:t>
      </w:r>
    </w:p>
    <w:p w14:paraId="4EB23CA5" w14:textId="77777777" w:rsidR="009C6035" w:rsidRPr="00344322" w:rsidRDefault="009C6035" w:rsidP="009C6035">
      <w:pPr>
        <w:rPr>
          <w:rFonts w:cstheme="minorHAnsi"/>
          <w:szCs w:val="22"/>
        </w:rPr>
      </w:pPr>
    </w:p>
    <w:p w14:paraId="26CD6BFF" w14:textId="77777777" w:rsidR="009C6035" w:rsidRPr="00344322" w:rsidRDefault="009C6035" w:rsidP="009C6035">
      <w:pPr>
        <w:rPr>
          <w:rFonts w:cstheme="minorHAnsi"/>
          <w:b/>
          <w:bCs/>
          <w:szCs w:val="22"/>
        </w:rPr>
      </w:pPr>
    </w:p>
    <w:p w14:paraId="31B4D840" w14:textId="77777777" w:rsidR="009C6035" w:rsidRPr="00344322" w:rsidRDefault="009C6035" w:rsidP="009C6035">
      <w:pPr>
        <w:rPr>
          <w:rFonts w:cstheme="minorHAnsi"/>
          <w:b/>
          <w:bCs/>
          <w:szCs w:val="22"/>
        </w:rPr>
      </w:pPr>
    </w:p>
    <w:p w14:paraId="01D8D516" w14:textId="77777777" w:rsidR="009C6035" w:rsidRPr="002F0B51" w:rsidRDefault="009C6035" w:rsidP="009C6035">
      <w:pPr>
        <w:rPr>
          <w:rFonts w:cstheme="minorHAnsi"/>
          <w:b/>
          <w:bCs/>
          <w:sz w:val="24"/>
        </w:rPr>
      </w:pPr>
      <w:r>
        <w:rPr>
          <w:b/>
          <w:bCs/>
          <w:sz w:val="24"/>
        </w:rPr>
        <w:t>Comité consultivo nacional (CAC)</w:t>
      </w:r>
    </w:p>
    <w:p w14:paraId="76736B8E" w14:textId="77777777" w:rsidR="009C6035" w:rsidRPr="00344322" w:rsidRDefault="009C6035" w:rsidP="009C6035">
      <w:pPr>
        <w:ind w:left="720"/>
        <w:rPr>
          <w:rFonts w:cstheme="minorHAnsi"/>
          <w:b/>
          <w:bCs/>
          <w:szCs w:val="22"/>
        </w:rPr>
      </w:pPr>
    </w:p>
    <w:p w14:paraId="44F21A21" w14:textId="6A307B53" w:rsidR="009C6035" w:rsidRPr="00344322" w:rsidRDefault="009C6035" w:rsidP="009C6035">
      <w:pPr>
        <w:ind w:left="720"/>
        <w:rPr>
          <w:rFonts w:cstheme="minorHAnsi"/>
          <w:szCs w:val="22"/>
          <w:u w:val="single"/>
        </w:rPr>
      </w:pPr>
      <w:r>
        <w:rPr>
          <w:b/>
          <w:bCs/>
          <w:szCs w:val="22"/>
        </w:rPr>
        <w:t xml:space="preserve">Membros propostos: </w:t>
      </w:r>
      <w:r>
        <w:rPr>
          <w:color w:val="808080" w:themeColor="background1" w:themeShade="80"/>
          <w:szCs w:val="22"/>
          <w:u w:val="single"/>
        </w:rPr>
        <w:t>[adicionar aqui uma lista dos membros propostos por nome, credenciais e afiliação.]</w:t>
      </w:r>
    </w:p>
    <w:p w14:paraId="16E131FE" w14:textId="77777777" w:rsidR="009C6035" w:rsidRPr="00344322" w:rsidRDefault="009C6035" w:rsidP="009C6035">
      <w:pPr>
        <w:rPr>
          <w:rFonts w:cstheme="minorHAnsi"/>
          <w:szCs w:val="22"/>
        </w:rPr>
      </w:pPr>
    </w:p>
    <w:p w14:paraId="5847941F" w14:textId="307D11D8" w:rsidR="009C6035" w:rsidRPr="00344322" w:rsidRDefault="009C6035" w:rsidP="009C6035">
      <w:pPr>
        <w:ind w:left="720"/>
        <w:rPr>
          <w:rFonts w:cstheme="minorHAnsi"/>
          <w:szCs w:val="22"/>
        </w:rPr>
      </w:pPr>
      <w:r>
        <w:rPr>
          <w:b/>
          <w:bCs/>
          <w:szCs w:val="22"/>
        </w:rPr>
        <w:t>Nível de esforço necessário:</w:t>
      </w:r>
      <w:r>
        <w:t xml:space="preserve"> Estimamos que as tarefas associadas à participação neste grupo represente, cerca de 2-3 horas por mês, e incluirão a preparação e a participação nas reuniões mensais onde o progresso será partilhado e serão solicitados comentários. </w:t>
      </w:r>
    </w:p>
    <w:p w14:paraId="4D0A419A" w14:textId="77777777" w:rsidR="009C6035" w:rsidRPr="00344322" w:rsidRDefault="009C6035" w:rsidP="009C6035">
      <w:pPr>
        <w:rPr>
          <w:rFonts w:cstheme="minorHAnsi"/>
          <w:b/>
          <w:bCs/>
          <w:i/>
          <w:iCs/>
          <w:szCs w:val="22"/>
        </w:rPr>
      </w:pPr>
    </w:p>
    <w:p w14:paraId="1D8390B5" w14:textId="77777777" w:rsidR="009C6035" w:rsidRPr="00344322" w:rsidRDefault="009C6035" w:rsidP="009C6035">
      <w:pPr>
        <w:ind w:left="720"/>
        <w:rPr>
          <w:rFonts w:cstheme="minorHAnsi"/>
          <w:szCs w:val="22"/>
        </w:rPr>
      </w:pPr>
      <w:r>
        <w:rPr>
          <w:b/>
          <w:bCs/>
          <w:szCs w:val="22"/>
        </w:rPr>
        <w:t>Função geral:</w:t>
      </w:r>
      <w:r>
        <w:t xml:space="preserve">  O grupo apoiará a tomada de decisões estratégicas e o alinhamento com os programas IYCF e CMSC existentes no país.</w:t>
      </w:r>
    </w:p>
    <w:p w14:paraId="5B532879" w14:textId="77777777" w:rsidR="009C6035" w:rsidRPr="00344322" w:rsidRDefault="009C6035" w:rsidP="009C6035">
      <w:pPr>
        <w:rPr>
          <w:rFonts w:cstheme="minorHAnsi"/>
          <w:b/>
          <w:bCs/>
          <w:szCs w:val="22"/>
        </w:rPr>
      </w:pPr>
    </w:p>
    <w:p w14:paraId="2044970E" w14:textId="77777777" w:rsidR="009C6035" w:rsidRPr="00344322" w:rsidRDefault="009C6035" w:rsidP="009C6035">
      <w:pPr>
        <w:pStyle w:val="ListParagraph"/>
        <w:rPr>
          <w:rFonts w:cstheme="minorHAnsi"/>
          <w:b/>
          <w:bCs/>
          <w:szCs w:val="22"/>
        </w:rPr>
      </w:pPr>
      <w:r>
        <w:rPr>
          <w:b/>
          <w:bCs/>
          <w:szCs w:val="22"/>
        </w:rPr>
        <w:t>Principais tarefas e responsabilidades:</w:t>
      </w:r>
    </w:p>
    <w:p w14:paraId="0263B98C" w14:textId="77777777" w:rsidR="009C6035" w:rsidRPr="00344322" w:rsidRDefault="009C6035" w:rsidP="009C6035">
      <w:pPr>
        <w:numPr>
          <w:ilvl w:val="0"/>
          <w:numId w:val="1"/>
        </w:numPr>
        <w:rPr>
          <w:rFonts w:cstheme="minorHAnsi"/>
          <w:szCs w:val="22"/>
        </w:rPr>
      </w:pPr>
      <w:r>
        <w:t>Assegurar que a campanha está bem alinhada com as prioridades locais e nacionais da IYCF e da CMSC.</w:t>
      </w:r>
    </w:p>
    <w:p w14:paraId="46D1F1F2" w14:textId="612C176A" w:rsidR="009C6035" w:rsidRPr="00344322" w:rsidRDefault="009C6035" w:rsidP="009C6035">
      <w:pPr>
        <w:numPr>
          <w:ilvl w:val="0"/>
          <w:numId w:val="1"/>
        </w:numPr>
        <w:rPr>
          <w:rFonts w:cstheme="minorHAnsi"/>
          <w:szCs w:val="22"/>
        </w:rPr>
      </w:pPr>
      <w:r>
        <w:t>Analisar e fornecer comentários sobre a abordagem da campanha, nomeadamente sobre temas e seleção de canais. Estabelecer ligações estratégicas com programas e campanhas relacionados de modo a reduzir a possibilidade de duplicação e a maximizar as oportunidades de colaboração ou de extensão dos esforços existentes.</w:t>
      </w:r>
    </w:p>
    <w:p w14:paraId="2052B406" w14:textId="77777777" w:rsidR="00B65E84" w:rsidRDefault="00B65E84"/>
    <w:sectPr w:rsidR="00B65E84" w:rsidSect="009A6314">
      <w:headerReference w:type="default" r:id="rId10"/>
      <w:footerReference w:type="default" r:id="rId11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10DA" w14:textId="77777777" w:rsidR="003A2469" w:rsidRDefault="003A2469" w:rsidP="00C23B73">
      <w:r>
        <w:separator/>
      </w:r>
    </w:p>
  </w:endnote>
  <w:endnote w:type="continuationSeparator" w:id="0">
    <w:p w14:paraId="1EE8CA8A" w14:textId="77777777" w:rsidR="003A2469" w:rsidRDefault="003A2469" w:rsidP="00C2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1550" w14:textId="4C15D6CE" w:rsidR="00C23B73" w:rsidRPr="00C23B73" w:rsidRDefault="00C23B73">
    <w:pPr>
      <w:pStyle w:val="Footer"/>
      <w:rPr>
        <w:sz w:val="18"/>
        <w:szCs w:val="20"/>
      </w:rPr>
    </w:pPr>
    <w:r w:rsidRPr="00166854">
      <w:rPr>
        <w:sz w:val="18"/>
        <w:szCs w:val="20"/>
      </w:rPr>
      <w:t>Esta ferramenta faz parte do conjunto de ferramentas ‘Campaign in a Box’ desenvolvido pela Comunidade de Desenvolvimento da África Austral (SADC), pela Aliança Global para a Melhoria da Nutrição (GAIN) e pelo Fundo das Nações Unidas para a Infância (UNICEF).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18EE5" w14:textId="77777777" w:rsidR="003A2469" w:rsidRDefault="003A2469" w:rsidP="00C23B73">
      <w:r>
        <w:separator/>
      </w:r>
    </w:p>
  </w:footnote>
  <w:footnote w:type="continuationSeparator" w:id="0">
    <w:p w14:paraId="12917EC1" w14:textId="77777777" w:rsidR="003A2469" w:rsidRDefault="003A2469" w:rsidP="00C2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3CA4" w14:textId="476E2F5D" w:rsidR="00C23B73" w:rsidRDefault="009A6314">
    <w:pPr>
      <w:pStyle w:val="Header"/>
    </w:pPr>
    <w:r>
      <w:rPr>
        <w:noProof/>
      </w:rPr>
      <w:drawing>
        <wp:inline distT="0" distB="0" distL="0" distR="0" wp14:anchorId="691BD49B" wp14:editId="42DC027C">
          <wp:extent cx="5731510" cy="583565"/>
          <wp:effectExtent l="0" t="0" r="2540" b="6985"/>
          <wp:docPr id="4062682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373032" name="Picture 9813730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83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885"/>
    <w:multiLevelType w:val="hybridMultilevel"/>
    <w:tmpl w:val="05D2A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BF6DBF"/>
    <w:multiLevelType w:val="hybridMultilevel"/>
    <w:tmpl w:val="2F287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3048140">
    <w:abstractNumId w:val="1"/>
  </w:num>
  <w:num w:numId="2" w16cid:durableId="47129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35"/>
    <w:rsid w:val="00061A8E"/>
    <w:rsid w:val="002E1287"/>
    <w:rsid w:val="002F0B51"/>
    <w:rsid w:val="003A2469"/>
    <w:rsid w:val="003E66AE"/>
    <w:rsid w:val="007917B1"/>
    <w:rsid w:val="009A6314"/>
    <w:rsid w:val="009C6035"/>
    <w:rsid w:val="00B65E84"/>
    <w:rsid w:val="00C23B73"/>
    <w:rsid w:val="00D2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602B8"/>
  <w15:chartTrackingRefBased/>
  <w15:docId w15:val="{BBEA8264-26D7-48AF-8111-EF39F287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035"/>
    <w:pPr>
      <w:spacing w:after="0" w:line="240" w:lineRule="auto"/>
    </w:pPr>
    <w:rPr>
      <w:rFonts w:eastAsia="Times New Roman" w:cs="Times New Roman"/>
      <w:kern w:val="0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0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6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0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035"/>
    <w:rPr>
      <w:rFonts w:eastAsia="Times New Roman" w:cs="Times New Roman"/>
      <w:kern w:val="0"/>
      <w:sz w:val="20"/>
      <w:szCs w:val="20"/>
      <w:lang w:eastAsia="en-GB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9C6035"/>
    <w:rPr>
      <w:b/>
      <w:i/>
      <w:iCs/>
      <w:color w:val="000000" w:themeColor="text1"/>
      <w:szCs w:val="18"/>
    </w:rPr>
  </w:style>
  <w:style w:type="paragraph" w:styleId="Header">
    <w:name w:val="header"/>
    <w:basedOn w:val="Normal"/>
    <w:link w:val="HeaderChar"/>
    <w:uiPriority w:val="99"/>
    <w:unhideWhenUsed/>
    <w:rsid w:val="00C23B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B73"/>
    <w:rPr>
      <w:rFonts w:eastAsia="Times New Roman" w:cs="Times New Roman"/>
      <w:kern w:val="0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23B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B73"/>
    <w:rPr>
      <w:rFonts w:eastAsia="Times New Roman" w:cs="Times New Roman"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1BABF3BE2224BABFAB9686C747BA9" ma:contentTypeVersion="16" ma:contentTypeDescription="Create a new document." ma:contentTypeScope="" ma:versionID="65f42010cef1169890694a6078b0d947">
  <xsd:schema xmlns:xsd="http://www.w3.org/2001/XMLSchema" xmlns:xs="http://www.w3.org/2001/XMLSchema" xmlns:p="http://schemas.microsoft.com/office/2006/metadata/properties" xmlns:ns2="4a18f32e-23bd-4e3e-aabe-13efc09913b2" xmlns:ns3="ef458fb7-983c-4bc3-9fee-003dbf7ee133" xmlns:ns4="aaa42312-913c-4222-b651-465b1bc0aae7" targetNamespace="http://schemas.microsoft.com/office/2006/metadata/properties" ma:root="true" ma:fieldsID="9603cb70d33ccb93a05474e1d9e0b0d6" ns2:_="" ns3:_="" ns4:_="">
    <xsd:import namespace="4a18f32e-23bd-4e3e-aabe-13efc09913b2"/>
    <xsd:import namespace="ef458fb7-983c-4bc3-9fee-003dbf7ee133"/>
    <xsd:import namespace="aaa42312-913c-4222-b651-465b1bc0a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8f32e-23bd-4e3e-aabe-13efc0991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c9f325c-6ddb-4dc2-8aa3-9d02edec3c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8fb7-983c-4bc3-9fee-003dbf7e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42312-913c-4222-b651-465b1bc0aae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a513b21-4158-4d64-a71c-f0ec884af5df}" ma:internalName="TaxCatchAll" ma:showField="CatchAllData" ma:web="ef458fb7-983c-4bc3-9fee-003dbf7ee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a42312-913c-4222-b651-465b1bc0aae7" xsi:nil="true"/>
    <lcf76f155ced4ddcb4097134ff3c332f xmlns="4a18f32e-23bd-4e3e-aabe-13efc09913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05492F-0EF4-40B2-804C-85E89CDAF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C53B32-DA24-4DF2-84BB-16DF75709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8f32e-23bd-4e3e-aabe-13efc09913b2"/>
    <ds:schemaRef ds:uri="ef458fb7-983c-4bc3-9fee-003dbf7ee133"/>
    <ds:schemaRef ds:uri="aaa42312-913c-4222-b651-465b1bc0a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1A118-1745-4C57-8AF6-318E5BCA8D8A}">
  <ds:schemaRefs>
    <ds:schemaRef ds:uri="http://schemas.microsoft.com/office/2006/metadata/properties"/>
    <ds:schemaRef ds:uri="http://schemas.microsoft.com/office/infopath/2007/PartnerControls"/>
    <ds:schemaRef ds:uri="aaa42312-913c-4222-b651-465b1bc0aae7"/>
    <ds:schemaRef ds:uri="4a18f32e-23bd-4e3e-aabe-13efc09913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Shindler</dc:creator>
  <cp:keywords/>
  <dc:description/>
  <cp:lastModifiedBy>Miriam Shindler</cp:lastModifiedBy>
  <cp:revision>7</cp:revision>
  <dcterms:created xsi:type="dcterms:W3CDTF">2023-06-14T09:15:00Z</dcterms:created>
  <dcterms:modified xsi:type="dcterms:W3CDTF">2023-12-21T15:29:00Z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0x0101009961BABF3BE2224BABFAB9686C747BA9</vt:lpwstr>
  </property>
  <property fmtid="{D5CDD505-2E9C-101B-9397-08002B2CF9AE}" pid="3" name="MediaServiceImageTags">
    <vt:lpwstr/>
  </property>
</Properties>
</file>