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932F" w14:textId="34837B88" w:rsidR="00947D90" w:rsidRPr="00344322" w:rsidRDefault="00947D90" w:rsidP="3197D07E">
      <w:pPr>
        <w:pStyle w:val="Caption"/>
        <w:rPr>
          <w:i w:val="0"/>
          <w:iCs w:val="0"/>
          <w:sz w:val="28"/>
          <w:szCs w:val="28"/>
        </w:rPr>
      </w:pPr>
      <w:bookmarkStart w:id="0" w:name="_Toc136438898"/>
      <w:r>
        <w:rPr>
          <w:i w:val="0"/>
          <w:iCs w:val="0"/>
          <w:sz w:val="28"/>
          <w:szCs w:val="28"/>
        </w:rPr>
        <w:t>Outil de développement : Exemples de critères d’évaluation de l’agence de création</w:t>
      </w:r>
      <w:bookmarkEnd w:id="0"/>
    </w:p>
    <w:p w14:paraId="2E845A78" w14:textId="4F92D132" w:rsidR="3197D07E" w:rsidRDefault="3197D07E" w:rsidP="3197D07E"/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20"/>
        <w:gridCol w:w="1376"/>
        <w:gridCol w:w="1376"/>
        <w:gridCol w:w="1376"/>
      </w:tblGrid>
      <w:tr w:rsidR="00947D90" w:rsidRPr="006007AF" w14:paraId="00B619FC" w14:textId="77777777" w:rsidTr="00B76160">
        <w:trPr>
          <w:trHeight w:val="336"/>
          <w:jc w:val="center"/>
        </w:trPr>
        <w:tc>
          <w:tcPr>
            <w:tcW w:w="6120" w:type="dxa"/>
            <w:vAlign w:val="center"/>
            <w:hideMark/>
          </w:tcPr>
          <w:p w14:paraId="4D6D56ED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Description</w:t>
            </w:r>
          </w:p>
        </w:tc>
        <w:tc>
          <w:tcPr>
            <w:tcW w:w="1170" w:type="dxa"/>
          </w:tcPr>
          <w:p w14:paraId="76ACAEAA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Examinateur 1</w:t>
            </w:r>
          </w:p>
        </w:tc>
        <w:tc>
          <w:tcPr>
            <w:tcW w:w="1198" w:type="dxa"/>
          </w:tcPr>
          <w:p w14:paraId="59B5B787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Examinateur 2</w:t>
            </w:r>
          </w:p>
        </w:tc>
        <w:tc>
          <w:tcPr>
            <w:tcW w:w="1073" w:type="dxa"/>
          </w:tcPr>
          <w:p w14:paraId="2B4E94FB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Examinateur 3</w:t>
            </w:r>
          </w:p>
        </w:tc>
      </w:tr>
      <w:tr w:rsidR="00947D90" w:rsidRPr="006007AF" w14:paraId="1EA9E8CE" w14:textId="77777777" w:rsidTr="000E312B">
        <w:trPr>
          <w:trHeight w:val="326"/>
          <w:jc w:val="center"/>
        </w:trPr>
        <w:tc>
          <w:tcPr>
            <w:tcW w:w="9561" w:type="dxa"/>
            <w:gridSpan w:val="4"/>
            <w:shd w:val="clear" w:color="auto" w:fill="A5A5A5" w:themeFill="accent3"/>
            <w:noWrap/>
            <w:vAlign w:val="center"/>
          </w:tcPr>
          <w:p w14:paraId="650F7FE2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SOUMISSION DE LA PROPOSITION</w:t>
            </w:r>
          </w:p>
        </w:tc>
      </w:tr>
      <w:tr w:rsidR="00947D90" w:rsidRPr="006007AF" w14:paraId="34801D28" w14:textId="77777777" w:rsidTr="000E312B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</w:tcPr>
          <w:p w14:paraId="7754F4C2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QUALIFICATIONS DE L’AGENCE</w:t>
            </w:r>
          </w:p>
        </w:tc>
        <w:tc>
          <w:tcPr>
            <w:tcW w:w="1170" w:type="dxa"/>
            <w:shd w:val="clear" w:color="auto" w:fill="A5A5A5" w:themeFill="accent3"/>
          </w:tcPr>
          <w:p w14:paraId="113EB31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2D69092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3191769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7EC10E7A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31EB633F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Expérience avérée avec des capacités complètes d’agence de création pour concevoir et exécuter des campagnes marketing, y compris </w:t>
            </w:r>
            <w:r>
              <w:rPr>
                <w:color w:val="808080"/>
                <w:szCs w:val="22"/>
              </w:rPr>
              <w:t>[la gestion de comptes et de projets, la planification stratégique de campagnes et de communications ainsi que la production médiatique]</w:t>
            </w:r>
            <w:r>
              <w:rPr>
                <w:color w:val="000000" w:themeColor="text1"/>
                <w:szCs w:val="22"/>
              </w:rPr>
              <w:t xml:space="preserve">. </w:t>
            </w:r>
          </w:p>
        </w:tc>
        <w:tc>
          <w:tcPr>
            <w:tcW w:w="1170" w:type="dxa"/>
            <w:shd w:val="clear" w:color="auto" w:fill="auto"/>
          </w:tcPr>
          <w:p w14:paraId="2E4B27F4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14487AB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3B992F8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30F59027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4F55669D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Expertise d’équipe qualifiée en </w:t>
            </w:r>
            <w:r>
              <w:rPr>
                <w:color w:val="808080"/>
                <w:szCs w:val="22"/>
              </w:rPr>
              <w:t>[messages de campagne, stratégie créative, travail de conception, marketing, engagement et mobilisation communautaire]</w:t>
            </w:r>
            <w:r>
              <w:rPr>
                <w:color w:val="000000" w:themeColor="text1"/>
                <w:szCs w:val="22"/>
              </w:rPr>
              <w:t>.</w:t>
            </w:r>
          </w:p>
        </w:tc>
        <w:tc>
          <w:tcPr>
            <w:tcW w:w="1170" w:type="dxa"/>
            <w:shd w:val="clear" w:color="auto" w:fill="auto"/>
          </w:tcPr>
          <w:p w14:paraId="1A4E7E7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50563E2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179B0402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E463540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57A7F053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Le portfolio démontre une expérience avérée dans </w:t>
            </w:r>
            <w:r>
              <w:rPr>
                <w:color w:val="808080"/>
                <w:szCs w:val="22"/>
              </w:rPr>
              <w:t>[le développement et la mise en œuvre de communications médiatiques, de programmes communautaires et d’outils promotionnels].</w:t>
            </w:r>
          </w:p>
        </w:tc>
        <w:tc>
          <w:tcPr>
            <w:tcW w:w="1170" w:type="dxa"/>
            <w:shd w:val="clear" w:color="auto" w:fill="auto"/>
          </w:tcPr>
          <w:p w14:paraId="60BB76E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12CDFC40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352E5CA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2BD22DB5" w14:textId="77777777" w:rsidTr="00B76160">
        <w:trPr>
          <w:trHeight w:val="32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06759AF1" w14:textId="77777777" w:rsidR="00947D90" w:rsidRPr="00A84789" w:rsidRDefault="00947D90" w:rsidP="00B7616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808080"/>
                <w:szCs w:val="22"/>
              </w:rPr>
              <w:t>[FACULTATIF : Autres qualifications de l’agence, par ex. capacités linguistiques/de traduction, présence locale et liens communautaires]</w:t>
            </w:r>
          </w:p>
        </w:tc>
        <w:tc>
          <w:tcPr>
            <w:tcW w:w="1170" w:type="dxa"/>
            <w:shd w:val="clear" w:color="auto" w:fill="auto"/>
          </w:tcPr>
          <w:p w14:paraId="68C5CCF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uto"/>
          </w:tcPr>
          <w:p w14:paraId="0756040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14:paraId="09E4DBD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7DAAB702" w14:textId="77777777" w:rsidTr="000E312B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</w:tcPr>
          <w:p w14:paraId="39303C7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PROPOSITION ÉCRITE</w:t>
            </w:r>
          </w:p>
        </w:tc>
        <w:tc>
          <w:tcPr>
            <w:tcW w:w="1170" w:type="dxa"/>
            <w:shd w:val="clear" w:color="auto" w:fill="A5A5A5" w:themeFill="accent3"/>
          </w:tcPr>
          <w:p w14:paraId="0A8D690C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6E03987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1AFD2CC1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8668B8F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193BD232" w14:textId="77777777" w:rsidR="00947D90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La proposition démontre une compréhension claire de l’objectif du projet et des résultats attendus, tels qu’ils sont décrits dans l’AAP.</w:t>
            </w:r>
          </w:p>
        </w:tc>
        <w:tc>
          <w:tcPr>
            <w:tcW w:w="1170" w:type="dxa"/>
          </w:tcPr>
          <w:p w14:paraId="26FB956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1C9FE7C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D8AFF0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75EB105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3104A286" w14:textId="77777777" w:rsidR="00947D90" w:rsidRPr="00E15453" w:rsidRDefault="00947D90" w:rsidP="00B76160">
            <w:pPr>
              <w:rPr>
                <w:rFonts w:ascii="Calibri" w:hAnsi="Calibri" w:cs="Calibri"/>
                <w:color w:val="7F7F7F"/>
              </w:rPr>
            </w:pPr>
            <w:r>
              <w:rPr>
                <w:rFonts w:ascii="Calibri" w:hAnsi="Calibri"/>
                <w:color w:val="000000" w:themeColor="text1"/>
              </w:rPr>
              <w:t>La proposition présente une approche solide pour la rédaction des messages de la campagne, le développement de visuels de campagne ainsi que l’apparence générale de la campagne.</w:t>
            </w:r>
          </w:p>
        </w:tc>
        <w:tc>
          <w:tcPr>
            <w:tcW w:w="1170" w:type="dxa"/>
          </w:tcPr>
          <w:p w14:paraId="19DBC3A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1EED9066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1AC94B6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41ABF36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46B9D74C" w14:textId="77777777" w:rsidR="00947D90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color w:val="000000" w:themeColor="text1"/>
                <w:szCs w:val="22"/>
              </w:rPr>
              <w:t>La proposition détaille le plan d’utilisation des commentaires des consommateurs dans les activités de développement de la campagne.</w:t>
            </w:r>
          </w:p>
        </w:tc>
        <w:tc>
          <w:tcPr>
            <w:tcW w:w="1170" w:type="dxa"/>
          </w:tcPr>
          <w:p w14:paraId="6285473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E09E33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C5DC35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00CF740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51264AB7" w14:textId="77777777" w:rsidR="00947D90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Plan clair pour répondre aux éléments requis de l’EDT. </w:t>
            </w:r>
          </w:p>
        </w:tc>
        <w:tc>
          <w:tcPr>
            <w:tcW w:w="1170" w:type="dxa"/>
          </w:tcPr>
          <w:p w14:paraId="450D2EF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5D077F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9968F8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E6A9DE4" w14:textId="77777777" w:rsidTr="00B76160">
        <w:trPr>
          <w:trHeight w:val="578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7C76177B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>Le plan de dotation en personnel, le plan de travail et la proposition de frais reflètent les besoins du projet et respectent le budget.</w:t>
            </w:r>
          </w:p>
        </w:tc>
        <w:tc>
          <w:tcPr>
            <w:tcW w:w="1170" w:type="dxa"/>
          </w:tcPr>
          <w:p w14:paraId="596FC39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FAF661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76EBC82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0DFEEA0F" w14:textId="77777777" w:rsidTr="00B76160">
        <w:trPr>
          <w:trHeight w:val="911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6B381B4D" w14:textId="77777777" w:rsidR="00947D90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Chronologie et détails sur la gestion du projet </w:t>
            </w:r>
          </w:p>
          <w:p w14:paraId="627C5341" w14:textId="77777777" w:rsidR="00947D90" w:rsidRPr="00A84789" w:rsidRDefault="00947D90" w:rsidP="00947D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 xml:space="preserve">a) refléter les besoins et le calendrier du projet </w:t>
            </w:r>
          </w:p>
          <w:p w14:paraId="5692CF3C" w14:textId="77777777" w:rsidR="00947D90" w:rsidRPr="00A84789" w:rsidRDefault="00947D90" w:rsidP="00947D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000000"/>
                <w:szCs w:val="22"/>
              </w:rPr>
              <w:t>b) s’aligner sur les attentes de l’équipe du programme concernant la relation de travail.</w:t>
            </w:r>
          </w:p>
        </w:tc>
        <w:tc>
          <w:tcPr>
            <w:tcW w:w="1170" w:type="dxa"/>
          </w:tcPr>
          <w:p w14:paraId="59251CD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FD0617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7837C14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5CCD50C" w14:textId="77777777" w:rsidTr="00B76160">
        <w:trPr>
          <w:trHeight w:val="596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07660184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808080"/>
                <w:szCs w:val="22"/>
              </w:rPr>
              <w:t>[FACULTATIF : Autres exigences de l’AAP, par ex. stratégie de recherche, canaux médiatiques, exemples de budgets de production]</w:t>
            </w:r>
          </w:p>
        </w:tc>
        <w:tc>
          <w:tcPr>
            <w:tcW w:w="1170" w:type="dxa"/>
          </w:tcPr>
          <w:p w14:paraId="6F54E40A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6BD519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7EFCE5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495946C" w14:textId="77777777" w:rsidTr="00B76160">
        <w:trPr>
          <w:trHeight w:val="659"/>
          <w:jc w:val="center"/>
        </w:trPr>
        <w:tc>
          <w:tcPr>
            <w:tcW w:w="6120" w:type="dxa"/>
            <w:shd w:val="clear" w:color="auto" w:fill="auto"/>
            <w:noWrap/>
            <w:vAlign w:val="center"/>
          </w:tcPr>
          <w:p w14:paraId="2E161297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color w:val="808080"/>
                <w:szCs w:val="22"/>
              </w:rPr>
              <w:t>[FACULTATIF : Autres exigences de l’AAP, par ex. stratégie de recherche, canaux médiatiques, exemples de budgets de production]</w:t>
            </w:r>
          </w:p>
        </w:tc>
        <w:tc>
          <w:tcPr>
            <w:tcW w:w="1170" w:type="dxa"/>
          </w:tcPr>
          <w:p w14:paraId="1FD3ED8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04CBA4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A93D66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07A443B5" w14:textId="77777777" w:rsidTr="000E312B">
        <w:trPr>
          <w:trHeight w:val="326"/>
          <w:jc w:val="center"/>
        </w:trPr>
        <w:tc>
          <w:tcPr>
            <w:tcW w:w="9561" w:type="dxa"/>
            <w:gridSpan w:val="4"/>
            <w:shd w:val="clear" w:color="auto" w:fill="A5A5A5" w:themeFill="accent3"/>
            <w:noWrap/>
            <w:vAlign w:val="center"/>
          </w:tcPr>
          <w:p w14:paraId="096BCD01" w14:textId="77777777" w:rsidR="00947D90" w:rsidRPr="006007AF" w:rsidRDefault="00947D90" w:rsidP="00B76160">
            <w:pPr>
              <w:jc w:val="center"/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PRÉSENTATION DE L’ARGUMENTAIRE CRÉATIF</w:t>
            </w:r>
          </w:p>
        </w:tc>
      </w:tr>
      <w:tr w:rsidR="00947D90" w:rsidRPr="006007AF" w14:paraId="61C3BEF2" w14:textId="77777777" w:rsidTr="000E312B">
        <w:trPr>
          <w:trHeight w:val="326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43C62DE7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STRATÉGIE DE CAMPAGNE ET DE COMMUNICATION</w:t>
            </w:r>
          </w:p>
        </w:tc>
        <w:tc>
          <w:tcPr>
            <w:tcW w:w="1170" w:type="dxa"/>
            <w:shd w:val="clear" w:color="auto" w:fill="A5A5A5" w:themeFill="accent3"/>
          </w:tcPr>
          <w:p w14:paraId="24DBC4C5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1E1888D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2E4680B0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6BCF1EC7" w14:textId="77777777" w:rsidTr="00B76160">
        <w:trPr>
          <w:trHeight w:val="641"/>
          <w:jc w:val="center"/>
        </w:trPr>
        <w:tc>
          <w:tcPr>
            <w:tcW w:w="6120" w:type="dxa"/>
            <w:vAlign w:val="center"/>
            <w:hideMark/>
          </w:tcPr>
          <w:p w14:paraId="2D81300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La stratégie reflète une bonne compréhension du brief créatif, du problème, du public cible et du paysage médiatique. </w:t>
            </w:r>
          </w:p>
        </w:tc>
        <w:tc>
          <w:tcPr>
            <w:tcW w:w="1170" w:type="dxa"/>
          </w:tcPr>
          <w:p w14:paraId="501CDF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EB9F27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E9817A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65DA0049" w14:textId="77777777" w:rsidTr="00B76160">
        <w:trPr>
          <w:trHeight w:val="432"/>
          <w:jc w:val="center"/>
        </w:trPr>
        <w:tc>
          <w:tcPr>
            <w:tcW w:w="6120" w:type="dxa"/>
            <w:vAlign w:val="center"/>
          </w:tcPr>
          <w:p w14:paraId="03DCA757" w14:textId="77777777" w:rsidR="00947D90" w:rsidRPr="00E15453" w:rsidRDefault="00947D90" w:rsidP="00B76160">
            <w:p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L’idée de la campagne est spécifique/ciblée et évolutive à travers un plan média. </w:t>
            </w:r>
          </w:p>
        </w:tc>
        <w:tc>
          <w:tcPr>
            <w:tcW w:w="1170" w:type="dxa"/>
          </w:tcPr>
          <w:p w14:paraId="430C6F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4F21325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796236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2BCD8932" w14:textId="77777777" w:rsidTr="00B76160">
        <w:trPr>
          <w:trHeight w:val="432"/>
          <w:jc w:val="center"/>
        </w:trPr>
        <w:tc>
          <w:tcPr>
            <w:tcW w:w="6120" w:type="dxa"/>
            <w:vAlign w:val="center"/>
          </w:tcPr>
          <w:p w14:paraId="7749DBBD" w14:textId="77777777" w:rsidR="00947D90" w:rsidRPr="00E15453" w:rsidRDefault="00947D90" w:rsidP="00B76160">
            <w:pPr>
              <w:rPr>
                <w:rFonts w:ascii="Calibri" w:hAnsi="Calibri" w:cs="Calibri"/>
                <w:color w:val="7F7F7F"/>
              </w:rPr>
            </w:pPr>
            <w:r>
              <w:rPr>
                <w:rFonts w:ascii="Calibri" w:hAnsi="Calibri"/>
                <w:color w:val="000000" w:themeColor="text1"/>
              </w:rPr>
              <w:t>Description claire de la manière dont les supports de campagne favoriseraient un changement de comportement dans la communauté, même au-delà de la durée de la campagne.</w:t>
            </w:r>
          </w:p>
        </w:tc>
        <w:tc>
          <w:tcPr>
            <w:tcW w:w="1170" w:type="dxa"/>
          </w:tcPr>
          <w:p w14:paraId="677FDF1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2F9E51E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7B87E2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5916BBD" w14:textId="77777777" w:rsidTr="00B76160">
        <w:trPr>
          <w:trHeight w:val="740"/>
          <w:jc w:val="center"/>
        </w:trPr>
        <w:tc>
          <w:tcPr>
            <w:tcW w:w="6120" w:type="dxa"/>
            <w:vAlign w:val="center"/>
            <w:hideMark/>
          </w:tcPr>
          <w:p w14:paraId="07151EE1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[FACULTATIF : Autre objectif stratégique, par ex. compréhension des messages des réseaux sociaux, engagement communautaire]</w:t>
            </w:r>
          </w:p>
        </w:tc>
        <w:tc>
          <w:tcPr>
            <w:tcW w:w="1170" w:type="dxa"/>
          </w:tcPr>
          <w:p w14:paraId="504E5DC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697166EC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3E8669B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4274E1FB" w14:textId="77777777" w:rsidTr="000E312B">
        <w:trPr>
          <w:trHeight w:val="353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76DF1397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ÉLÉMENTS CRÉATIFS</w:t>
            </w:r>
          </w:p>
        </w:tc>
        <w:tc>
          <w:tcPr>
            <w:tcW w:w="1170" w:type="dxa"/>
            <w:shd w:val="clear" w:color="auto" w:fill="A5A5A5" w:themeFill="accent3"/>
          </w:tcPr>
          <w:p w14:paraId="66FF7134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70A6C0B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483C0AB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0E011542" w14:textId="77777777" w:rsidTr="00B76160">
        <w:trPr>
          <w:trHeight w:val="578"/>
          <w:jc w:val="center"/>
        </w:trPr>
        <w:tc>
          <w:tcPr>
            <w:tcW w:w="6120" w:type="dxa"/>
            <w:vAlign w:val="center"/>
            <w:hideMark/>
          </w:tcPr>
          <w:p w14:paraId="190E348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Les idées de la campagne </w:t>
            </w:r>
            <w:r>
              <w:rPr>
                <w:rFonts w:ascii="Calibri" w:hAnsi="Calibri"/>
                <w:color w:val="000000" w:themeColor="text1"/>
              </w:rPr>
              <w:t>capturent l’apparence, la sensation et le ton souhaités.</w:t>
            </w:r>
          </w:p>
        </w:tc>
        <w:tc>
          <w:tcPr>
            <w:tcW w:w="1170" w:type="dxa"/>
          </w:tcPr>
          <w:p w14:paraId="5102BAF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0CAB8D1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2C21212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31C25D7" w14:textId="77777777" w:rsidTr="00B76160">
        <w:trPr>
          <w:trHeight w:val="794"/>
          <w:jc w:val="center"/>
        </w:trPr>
        <w:tc>
          <w:tcPr>
            <w:tcW w:w="6120" w:type="dxa"/>
            <w:vAlign w:val="center"/>
          </w:tcPr>
          <w:p w14:paraId="5A993AC6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Les idées de la campagne sont engageantes et bien décrites ; potentiel de réussite de motivation du public cible.</w:t>
            </w:r>
          </w:p>
        </w:tc>
        <w:tc>
          <w:tcPr>
            <w:tcW w:w="1170" w:type="dxa"/>
          </w:tcPr>
          <w:p w14:paraId="4370A7C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53E2569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2D1FAC27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540D8834" w14:textId="77777777" w:rsidTr="00B76160">
        <w:trPr>
          <w:trHeight w:val="623"/>
          <w:jc w:val="center"/>
        </w:trPr>
        <w:tc>
          <w:tcPr>
            <w:tcW w:w="6120" w:type="dxa"/>
            <w:vAlign w:val="center"/>
            <w:hideMark/>
          </w:tcPr>
          <w:p w14:paraId="59E4827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L’agence montre clairement comment la campagne atteindra les indicateurs de performance dans le brief créatif.</w:t>
            </w:r>
          </w:p>
        </w:tc>
        <w:tc>
          <w:tcPr>
            <w:tcW w:w="1170" w:type="dxa"/>
          </w:tcPr>
          <w:p w14:paraId="2E6F105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5D38B8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4F9CF91C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1FDAFCD" w14:textId="77777777" w:rsidTr="00B76160">
        <w:trPr>
          <w:trHeight w:val="623"/>
          <w:jc w:val="center"/>
        </w:trPr>
        <w:tc>
          <w:tcPr>
            <w:tcW w:w="6120" w:type="dxa"/>
            <w:vAlign w:val="center"/>
          </w:tcPr>
          <w:p w14:paraId="262F155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[FACULTATIF : Autre objectif stratégique, par ex. compréhension des messages des réseaux sociaux, engagement communautaire]</w:t>
            </w:r>
          </w:p>
        </w:tc>
        <w:tc>
          <w:tcPr>
            <w:tcW w:w="1170" w:type="dxa"/>
          </w:tcPr>
          <w:p w14:paraId="7752C4BB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3D522C2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14739A9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9AC6EA9" w14:textId="77777777" w:rsidTr="000E312B">
        <w:trPr>
          <w:trHeight w:val="371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6C4E205D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AUTRES AVANTAGES</w:t>
            </w:r>
          </w:p>
        </w:tc>
        <w:tc>
          <w:tcPr>
            <w:tcW w:w="1170" w:type="dxa"/>
            <w:shd w:val="clear" w:color="auto" w:fill="A5A5A5" w:themeFill="accent3"/>
          </w:tcPr>
          <w:p w14:paraId="0C3C8846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09449BE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281DC8C8" w14:textId="77777777" w:rsidR="00947D90" w:rsidRPr="006007AF" w:rsidRDefault="00947D90" w:rsidP="00B76160">
            <w:pPr>
              <w:rPr>
                <w:rFonts w:cstheme="minorHAnsi"/>
                <w:b/>
                <w:bCs/>
                <w:color w:val="FFFFFF"/>
                <w:szCs w:val="22"/>
              </w:rPr>
            </w:pPr>
          </w:p>
        </w:tc>
      </w:tr>
      <w:tr w:rsidR="00947D90" w:rsidRPr="006007AF" w14:paraId="1E335570" w14:textId="77777777" w:rsidTr="000E312B">
        <w:trPr>
          <w:trHeight w:val="443"/>
          <w:jc w:val="center"/>
        </w:trPr>
        <w:tc>
          <w:tcPr>
            <w:tcW w:w="6120" w:type="dxa"/>
            <w:shd w:val="clear" w:color="auto" w:fill="A5A5A5" w:themeFill="accent3"/>
            <w:noWrap/>
            <w:vAlign w:val="center"/>
            <w:hideMark/>
          </w:tcPr>
          <w:p w14:paraId="071E003F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Bon historique avec </w:t>
            </w:r>
            <w:r>
              <w:rPr>
                <w:color w:val="7F7F7F"/>
                <w:szCs w:val="22"/>
              </w:rPr>
              <w:t>[votre organisation</w:t>
            </w:r>
            <w:proofErr w:type="gramStart"/>
            <w:r>
              <w:rPr>
                <w:color w:val="7F7F7F"/>
                <w:szCs w:val="22"/>
              </w:rPr>
              <w:t>]</w:t>
            </w:r>
            <w:r>
              <w:rPr>
                <w:szCs w:val="22"/>
              </w:rPr>
              <w:t xml:space="preserve"> </w:t>
            </w:r>
            <w:r>
              <w:rPr>
                <w:color w:val="000000"/>
                <w:szCs w:val="22"/>
              </w:rPr>
              <w:t>.</w:t>
            </w:r>
            <w:proofErr w:type="gramEnd"/>
          </w:p>
        </w:tc>
        <w:tc>
          <w:tcPr>
            <w:tcW w:w="1170" w:type="dxa"/>
            <w:shd w:val="clear" w:color="auto" w:fill="A5A5A5" w:themeFill="accent3"/>
          </w:tcPr>
          <w:p w14:paraId="24FC22D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77D2580A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5B887D14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37C569DD" w14:textId="77777777" w:rsidTr="00B76160">
        <w:trPr>
          <w:trHeight w:val="1163"/>
          <w:jc w:val="center"/>
        </w:trPr>
        <w:tc>
          <w:tcPr>
            <w:tcW w:w="6120" w:type="dxa"/>
            <w:vAlign w:val="center"/>
            <w:hideMark/>
          </w:tcPr>
          <w:p w14:paraId="3261761E" w14:textId="7001D740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L’équipe de l’agence semble équipée pour gérer l’ampleur de ce projet et dispose du personnel adéquat dans tous les départements clés</w:t>
            </w:r>
            <w:r>
              <w:rPr>
                <w:color w:val="808080"/>
                <w:szCs w:val="22"/>
              </w:rPr>
              <w:t xml:space="preserve"> [par ex. stratégie, création, gestion de compte, production et planification/achat média].</w:t>
            </w:r>
          </w:p>
        </w:tc>
        <w:tc>
          <w:tcPr>
            <w:tcW w:w="1170" w:type="dxa"/>
          </w:tcPr>
          <w:p w14:paraId="5FFD1ADD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0BFC7272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EBF30F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7630BC7E" w14:textId="77777777" w:rsidTr="00B76160">
        <w:trPr>
          <w:trHeight w:val="1208"/>
          <w:jc w:val="center"/>
        </w:trPr>
        <w:tc>
          <w:tcPr>
            <w:tcW w:w="6120" w:type="dxa"/>
            <w:vAlign w:val="center"/>
          </w:tcPr>
          <w:p w14:paraId="2B7B14BC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  <w:r>
              <w:rPr>
                <w:color w:val="808080"/>
                <w:szCs w:val="22"/>
              </w:rPr>
              <w:t>[FACULTATIF : Autre avantage, par ex. solide expérience professionnelle dans le pays/la région/la zone locale ; travaux créatifs antérieurs liés à l’alimentation, à la santé ou à la nutrition ; travail antérieur lié à l’alimentation du nourrisson et du jeune enfant.]</w:t>
            </w:r>
          </w:p>
        </w:tc>
        <w:tc>
          <w:tcPr>
            <w:tcW w:w="1170" w:type="dxa"/>
          </w:tcPr>
          <w:p w14:paraId="2BD734C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7A10B73E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6E52B683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4AA3FA1" w14:textId="77777777" w:rsidTr="000E312B">
        <w:trPr>
          <w:trHeight w:val="416"/>
          <w:jc w:val="center"/>
        </w:trPr>
        <w:tc>
          <w:tcPr>
            <w:tcW w:w="6120" w:type="dxa"/>
            <w:shd w:val="clear" w:color="auto" w:fill="A5A5A5" w:themeFill="accent3"/>
            <w:vAlign w:val="center"/>
          </w:tcPr>
          <w:p w14:paraId="46BC262F" w14:textId="77777777" w:rsidR="00947D90" w:rsidRPr="006007AF" w:rsidRDefault="00947D90" w:rsidP="00B76160">
            <w:pPr>
              <w:rPr>
                <w:rFonts w:cstheme="minorHAnsi"/>
                <w:color w:val="808080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SCORE TOTAL (AU BESOIN)</w:t>
            </w:r>
          </w:p>
        </w:tc>
        <w:tc>
          <w:tcPr>
            <w:tcW w:w="1170" w:type="dxa"/>
            <w:shd w:val="clear" w:color="auto" w:fill="A5A5A5" w:themeFill="accent3"/>
          </w:tcPr>
          <w:p w14:paraId="3B11AF05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  <w:shd w:val="clear" w:color="auto" w:fill="A5A5A5" w:themeFill="accent3"/>
          </w:tcPr>
          <w:p w14:paraId="30741368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  <w:shd w:val="clear" w:color="auto" w:fill="A5A5A5" w:themeFill="accent3"/>
          </w:tcPr>
          <w:p w14:paraId="7019464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  <w:tr w:rsidR="00947D90" w:rsidRPr="006007AF" w14:paraId="199D0C1B" w14:textId="77777777" w:rsidTr="00B76160">
        <w:trPr>
          <w:trHeight w:val="407"/>
          <w:jc w:val="center"/>
        </w:trPr>
        <w:tc>
          <w:tcPr>
            <w:tcW w:w="6120" w:type="dxa"/>
            <w:vAlign w:val="center"/>
          </w:tcPr>
          <w:p w14:paraId="6257C68C" w14:textId="77777777" w:rsidR="00947D90" w:rsidRPr="006007AF" w:rsidRDefault="00947D90" w:rsidP="00B76160">
            <w:pPr>
              <w:rPr>
                <w:rFonts w:cstheme="minorHAnsi"/>
                <w:color w:val="808080"/>
                <w:szCs w:val="22"/>
              </w:rPr>
            </w:pPr>
            <w:r>
              <w:rPr>
                <w:color w:val="808080"/>
                <w:szCs w:val="22"/>
              </w:rPr>
              <w:t>CLASSEMENT</w:t>
            </w:r>
          </w:p>
        </w:tc>
        <w:tc>
          <w:tcPr>
            <w:tcW w:w="1170" w:type="dxa"/>
          </w:tcPr>
          <w:p w14:paraId="5C68D880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198" w:type="dxa"/>
          </w:tcPr>
          <w:p w14:paraId="3D469911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  <w:tc>
          <w:tcPr>
            <w:tcW w:w="1073" w:type="dxa"/>
          </w:tcPr>
          <w:p w14:paraId="586AF099" w14:textId="77777777" w:rsidR="00947D90" w:rsidRPr="006007AF" w:rsidRDefault="00947D90" w:rsidP="00B76160">
            <w:pPr>
              <w:rPr>
                <w:rFonts w:cstheme="minorHAnsi"/>
                <w:color w:val="000000"/>
                <w:szCs w:val="22"/>
              </w:rPr>
            </w:pPr>
          </w:p>
        </w:tc>
      </w:tr>
    </w:tbl>
    <w:p w14:paraId="38E61837" w14:textId="77777777" w:rsidR="00947D90" w:rsidRDefault="00947D90" w:rsidP="00947D90"/>
    <w:p w14:paraId="6E3BB67E" w14:textId="77777777" w:rsidR="00947D90" w:rsidRDefault="00947D90" w:rsidP="00947D90"/>
    <w:p w14:paraId="03D4E8AD" w14:textId="77777777" w:rsidR="00947D90" w:rsidRDefault="00947D90" w:rsidP="00947D90"/>
    <w:p w14:paraId="19EEF3B7" w14:textId="77777777" w:rsidR="00947D90" w:rsidRPr="00344322" w:rsidRDefault="00947D90" w:rsidP="00947D90"/>
    <w:p w14:paraId="4EAE501D" w14:textId="7F08762A" w:rsidR="00B65E84" w:rsidRDefault="00947D90" w:rsidP="00947D90">
      <w:r>
        <w:br w:type="page"/>
      </w:r>
    </w:p>
    <w:sectPr w:rsidR="00B65E84" w:rsidSect="000E312B">
      <w:headerReference w:type="default" r:id="rId10"/>
      <w:footerReference w:type="default" r:id="rId11"/>
      <w:pgSz w:w="11906" w:h="16838"/>
      <w:pgMar w:top="2977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7BEC" w14:textId="77777777" w:rsidR="00AB63A7" w:rsidRDefault="00AB63A7" w:rsidP="00797F8C">
      <w:r>
        <w:separator/>
      </w:r>
    </w:p>
  </w:endnote>
  <w:endnote w:type="continuationSeparator" w:id="0">
    <w:p w14:paraId="792FFD42" w14:textId="77777777" w:rsidR="00AB63A7" w:rsidRDefault="00AB63A7" w:rsidP="0079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4BF7" w14:textId="70E9F040" w:rsidR="000E312B" w:rsidRPr="001A4884" w:rsidRDefault="000E312B" w:rsidP="000E312B">
    <w:pPr>
      <w:pStyle w:val="Footer"/>
      <w:rPr>
        <w:lang w:val="fr-CH"/>
      </w:rPr>
    </w:pPr>
    <w:r w:rsidRPr="009C4A46">
      <w:rPr>
        <w:sz w:val="18"/>
        <w:szCs w:val="20"/>
        <w:lang w:val="fr-CH"/>
      </w:rPr>
      <w:t>Cet outil fait partie de la boîte à outils « Camp</w:t>
    </w:r>
    <w:r>
      <w:rPr>
        <w:sz w:val="18"/>
        <w:szCs w:val="20"/>
        <w:lang w:val="fr-CH"/>
      </w:rPr>
      <w:t>aign in a Box</w:t>
    </w:r>
    <w:r w:rsidRPr="009C4A46">
      <w:rPr>
        <w:sz w:val="18"/>
        <w:szCs w:val="20"/>
        <w:lang w:val="fr-CH"/>
      </w:rPr>
      <w:t xml:space="preserve"> » développée par la Communauté de développement de l'Afrique australe (SADC), l'Alliance mondiale pour l'amélioration de la nutrition (GAIN) et le Fonds des Nations Unies pour l'enfance (UNICEF)</w:t>
    </w:r>
    <w:r>
      <w:rPr>
        <w:sz w:val="18"/>
        <w:szCs w:val="20"/>
        <w:lang w:val="fr-CH"/>
      </w:rPr>
      <w:t>.</w:t>
    </w:r>
  </w:p>
  <w:p w14:paraId="636D4DAA" w14:textId="6ED212D4" w:rsidR="00797F8C" w:rsidRPr="000E312B" w:rsidRDefault="00797F8C" w:rsidP="000E312B">
    <w:pPr>
      <w:pStyle w:val="Footer"/>
      <w:tabs>
        <w:tab w:val="clear" w:pos="4513"/>
        <w:tab w:val="clear" w:pos="9026"/>
        <w:tab w:val="left" w:pos="1485"/>
      </w:tabs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2CCD" w14:textId="77777777" w:rsidR="00AB63A7" w:rsidRDefault="00AB63A7" w:rsidP="00797F8C">
      <w:r>
        <w:separator/>
      </w:r>
    </w:p>
  </w:footnote>
  <w:footnote w:type="continuationSeparator" w:id="0">
    <w:p w14:paraId="1C552ABE" w14:textId="77777777" w:rsidR="00AB63A7" w:rsidRDefault="00AB63A7" w:rsidP="0079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39A5" w14:textId="70C3AD8A" w:rsidR="00797F8C" w:rsidRPr="0084421E" w:rsidRDefault="0084421E" w:rsidP="0084421E">
    <w:pPr>
      <w:pStyle w:val="Header"/>
    </w:pPr>
    <w:r>
      <w:rPr>
        <w:noProof/>
      </w:rPr>
      <w:drawing>
        <wp:inline distT="0" distB="0" distL="0" distR="0" wp14:anchorId="1DE57EDF" wp14:editId="0B4C236D">
          <wp:extent cx="5731510" cy="583565"/>
          <wp:effectExtent l="0" t="0" r="2540" b="6985"/>
          <wp:docPr id="8181866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373032" name="Picture 9813730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83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20CD"/>
    <w:multiLevelType w:val="multilevel"/>
    <w:tmpl w:val="16EA7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935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90"/>
    <w:rsid w:val="000E312B"/>
    <w:rsid w:val="003277D0"/>
    <w:rsid w:val="003E66AE"/>
    <w:rsid w:val="00797F8C"/>
    <w:rsid w:val="0084421E"/>
    <w:rsid w:val="00947D90"/>
    <w:rsid w:val="00AB63A7"/>
    <w:rsid w:val="00B62D20"/>
    <w:rsid w:val="00B65E84"/>
    <w:rsid w:val="00D26D28"/>
    <w:rsid w:val="24BEB943"/>
    <w:rsid w:val="3197D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A7E62"/>
  <w15:chartTrackingRefBased/>
  <w15:docId w15:val="{F55434B8-16B6-4B81-90A3-6AE8569E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D90"/>
    <w:pPr>
      <w:spacing w:after="0" w:line="240" w:lineRule="auto"/>
    </w:pPr>
    <w:rPr>
      <w:rFonts w:eastAsia="Times New Roman" w:cs="Times New Roman"/>
      <w:kern w:val="0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D90"/>
    <w:pPr>
      <w:ind w:left="720"/>
      <w:contextualSpacing/>
    </w:pPr>
  </w:style>
  <w:style w:type="paragraph" w:customStyle="1" w:styleId="paragraph">
    <w:name w:val="paragraph"/>
    <w:basedOn w:val="Normal"/>
    <w:rsid w:val="00947D90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unhideWhenUsed/>
    <w:qFormat/>
    <w:rsid w:val="00947D90"/>
    <w:rPr>
      <w:b/>
      <w:i/>
      <w:iCs/>
      <w:color w:val="000000" w:themeColor="text1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D9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F8C"/>
    <w:rPr>
      <w:rFonts w:eastAsia="Times New Roman" w:cs="Times New Roman"/>
      <w:kern w:val="0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7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F8C"/>
    <w:rPr>
      <w:rFonts w:eastAsia="Times New Roman" w:cs="Times New Roman"/>
      <w:kern w:val="0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1BABF3BE2224BABFAB9686C747BA9" ma:contentTypeVersion="16" ma:contentTypeDescription="Create a new document." ma:contentTypeScope="" ma:versionID="65f42010cef1169890694a6078b0d947">
  <xsd:schema xmlns:xsd="http://www.w3.org/2001/XMLSchema" xmlns:xs="http://www.w3.org/2001/XMLSchema" xmlns:p="http://schemas.microsoft.com/office/2006/metadata/properties" xmlns:ns2="4a18f32e-23bd-4e3e-aabe-13efc09913b2" xmlns:ns3="ef458fb7-983c-4bc3-9fee-003dbf7ee133" xmlns:ns4="aaa42312-913c-4222-b651-465b1bc0aae7" targetNamespace="http://schemas.microsoft.com/office/2006/metadata/properties" ma:root="true" ma:fieldsID="9603cb70d33ccb93a05474e1d9e0b0d6" ns2:_="" ns3:_="" ns4:_="">
    <xsd:import namespace="4a18f32e-23bd-4e3e-aabe-13efc09913b2"/>
    <xsd:import namespace="ef458fb7-983c-4bc3-9fee-003dbf7ee133"/>
    <xsd:import namespace="aaa42312-913c-4222-b651-465b1bc0a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8f32e-23bd-4e3e-aabe-13efc0991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c9f325c-6ddb-4dc2-8aa3-9d02edec3c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58fb7-983c-4bc3-9fee-003dbf7e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42312-913c-4222-b651-465b1bc0aa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a513b21-4158-4d64-a71c-f0ec884af5df}" ma:internalName="TaxCatchAll" ma:showField="CatchAllData" ma:web="ef458fb7-983c-4bc3-9fee-003dbf7e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42312-913c-4222-b651-465b1bc0aae7" xsi:nil="true"/>
    <lcf76f155ced4ddcb4097134ff3c332f xmlns="4a18f32e-23bd-4e3e-aabe-13efc09913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CBE55-4366-4D93-91B8-B13F64A58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8f32e-23bd-4e3e-aabe-13efc09913b2"/>
    <ds:schemaRef ds:uri="ef458fb7-983c-4bc3-9fee-003dbf7ee133"/>
    <ds:schemaRef ds:uri="aaa42312-913c-4222-b651-465b1bc0a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323F7C-336F-4F94-A2BA-F338F0029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4820-BA06-4B9A-AC75-B337B646C446}">
  <ds:schemaRefs>
    <ds:schemaRef ds:uri="http://schemas.microsoft.com/office/2006/metadata/properties"/>
    <ds:schemaRef ds:uri="http://schemas.microsoft.com/office/infopath/2007/PartnerControls"/>
    <ds:schemaRef ds:uri="aaa42312-913c-4222-b651-465b1bc0aae7"/>
    <ds:schemaRef ds:uri="4a18f32e-23bd-4e3e-aabe-13efc09913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Shindler</dc:creator>
  <cp:keywords/>
  <dc:description/>
  <cp:lastModifiedBy>Miriam Shindler</cp:lastModifiedBy>
  <cp:revision>8</cp:revision>
  <dcterms:created xsi:type="dcterms:W3CDTF">2023-06-14T09:45:00Z</dcterms:created>
  <dcterms:modified xsi:type="dcterms:W3CDTF">2023-12-21T13:40:00Z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0x0101009961BABF3BE2224BABFAB9686C747BA9</vt:lpwstr>
  </property>
  <property fmtid="{D5CDD505-2E9C-101B-9397-08002B2CF9AE}" pid="3" name="MediaServiceImageTags">
    <vt:lpwstr/>
  </property>
</Properties>
</file>